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DF" w:rsidRDefault="002418DF"/>
    <w:p w:rsidR="00BC57B0" w:rsidRPr="00BC57B0" w:rsidRDefault="00BC57B0">
      <w:pPr>
        <w:rPr>
          <w:b/>
        </w:rPr>
      </w:pPr>
      <w:r w:rsidRPr="00BC57B0">
        <w:rPr>
          <w:b/>
        </w:rPr>
        <w:t>KIKO</w:t>
      </w:r>
      <w:r w:rsidR="00975285">
        <w:rPr>
          <w:b/>
        </w:rPr>
        <w:t xml:space="preserve"> strateegiaseminari kokkuvõte</w:t>
      </w:r>
      <w:r w:rsidRPr="00BC57B0">
        <w:rPr>
          <w:b/>
        </w:rPr>
        <w:t xml:space="preserve"> 16.09.2014</w:t>
      </w:r>
    </w:p>
    <w:p w:rsidR="000A7125" w:rsidRPr="00975285" w:rsidRDefault="00975285" w:rsidP="000A7125">
      <w:pPr>
        <w:rPr>
          <w:b/>
        </w:rPr>
      </w:pPr>
      <w:r w:rsidRPr="00975285">
        <w:rPr>
          <w:b/>
        </w:rPr>
        <w:t>SWOT analüüsi fokusseerimine</w:t>
      </w:r>
    </w:p>
    <w:p w:rsidR="00975285" w:rsidRPr="00A50EAC" w:rsidRDefault="00975285" w:rsidP="000A7125">
      <w:pPr>
        <w:rPr>
          <w:b/>
        </w:rPr>
      </w:pPr>
      <w:r w:rsidRPr="00A50EAC">
        <w:rPr>
          <w:b/>
        </w:rPr>
        <w:t xml:space="preserve">Tugevused </w:t>
      </w:r>
    </w:p>
    <w:p w:rsidR="00975285" w:rsidRDefault="00975285" w:rsidP="000A7125">
      <w:r>
        <w:t>Tugevuste osas on olulisemad (tähtsuse järjekorras):</w:t>
      </w:r>
    </w:p>
    <w:p w:rsidR="00975285" w:rsidRDefault="00975285" w:rsidP="00975285">
      <w:pPr>
        <w:pStyle w:val="ListParagraph"/>
        <w:numPr>
          <w:ilvl w:val="0"/>
          <w:numId w:val="2"/>
        </w:numPr>
      </w:pPr>
      <w:r>
        <w:t>Tegevusgrupi suur elanike arv ja sellest tulenev suur taotlejate hulk – tugevus loob eeldused selleks, et KIKO poolt osutatavatele teenustele on olemas laialdane tarbijaskond ning annab KIKO-le tarbijate mõistes jätkusuutlikkuse.</w:t>
      </w:r>
    </w:p>
    <w:p w:rsidR="00975285" w:rsidRDefault="00975285" w:rsidP="00975285">
      <w:pPr>
        <w:pStyle w:val="ListParagraph"/>
        <w:numPr>
          <w:ilvl w:val="0"/>
          <w:numId w:val="2"/>
        </w:numPr>
      </w:pPr>
      <w:r>
        <w:t>KIKO-l on laialdased LEADER tegevuse kogemused – tugevus loob eelduse selleks, et KIKO-s olemasolev oskusteave leiab parimat rakendust KIKO liikmetele ja tegevuspiirkonna ettevõtetele, mittetulundusühingutele ja omavalitsustele teeuste pakkumisel ning piirkonna terviklikul arendamisel</w:t>
      </w:r>
    </w:p>
    <w:p w:rsidR="00975285" w:rsidRDefault="00975285" w:rsidP="00975285">
      <w:pPr>
        <w:pStyle w:val="ListParagraph"/>
        <w:numPr>
          <w:ilvl w:val="0"/>
          <w:numId w:val="2"/>
        </w:numPr>
      </w:pPr>
      <w:r>
        <w:t>KIKO-s on olemas koostöökogemusega, tegutsev ja tõhus liikmetest koosnev tuumik – tugevus loob eelduse selleks, et LEADER tegevused omavad positiivset mõju piirkonna arengule seoses KIKO liikmete igapäevase toimetamisega</w:t>
      </w:r>
    </w:p>
    <w:p w:rsidR="00975285" w:rsidRDefault="00975285" w:rsidP="00975285">
      <w:pPr>
        <w:pStyle w:val="ListParagraph"/>
        <w:numPr>
          <w:ilvl w:val="0"/>
          <w:numId w:val="2"/>
        </w:numPr>
      </w:pPr>
      <w:r>
        <w:t>KIKO-l on hea võrgustikutöö kogemus nii erinevate LAG-ide kui ka ettevõtjate, kolmanda sektori ja omavalitsustega – tugevus loob eelduse selleks, et KIKO on võimeline saavutama laiemaid tulemusi läbi võrgustikutöö nii tegvuspiirkonnas kui ka laiemalt.</w:t>
      </w:r>
    </w:p>
    <w:p w:rsidR="006C686B" w:rsidRDefault="006C686B" w:rsidP="00975285">
      <w:pPr>
        <w:pStyle w:val="ListParagraph"/>
        <w:numPr>
          <w:ilvl w:val="0"/>
          <w:numId w:val="2"/>
        </w:numPr>
      </w:pPr>
      <w:r>
        <w:t>KIKO tegevuspiirkonna füüsiline asukoht pankrannikul ja mere ääres – tugevus loob eelduse erinevateks ettevõtluse ja turismi arendamise tegevusteks, piirkonna turundamiseks läbi Eesti ühe a</w:t>
      </w:r>
      <w:r w:rsidR="00A50EAC">
        <w:t>traktiivsema vaatamisväärsuse (Balti klindi).</w:t>
      </w:r>
    </w:p>
    <w:p w:rsidR="004D3644" w:rsidRPr="00A50EAC" w:rsidRDefault="00A50EAC" w:rsidP="004D3644">
      <w:pPr>
        <w:rPr>
          <w:b/>
        </w:rPr>
      </w:pPr>
      <w:r w:rsidRPr="00A50EAC">
        <w:rPr>
          <w:b/>
        </w:rPr>
        <w:t>Võimalused</w:t>
      </w:r>
    </w:p>
    <w:p w:rsidR="004D3644" w:rsidRDefault="006C686B" w:rsidP="004D3644">
      <w:r>
        <w:t>Olulisemad võimalused tulenevad eeltoodud tugevustest (tähtsuse järjekorras)</w:t>
      </w:r>
    </w:p>
    <w:p w:rsidR="006C686B" w:rsidRDefault="006C686B" w:rsidP="006C686B">
      <w:pPr>
        <w:pStyle w:val="ListParagraph"/>
        <w:numPr>
          <w:ilvl w:val="0"/>
          <w:numId w:val="3"/>
        </w:numPr>
      </w:pPr>
      <w:r>
        <w:t>Taotlejate (sh. venekeelsete) koolitamine ning korduvtaotlejate kaasamine KIKO tegevustesse liikmena – võimalus tuleneb sellest, et taotlejaid on palju, kuid venekeelsete taotlejate osas on veel saavutamata potentsiaali, samuti on võimalus tugevdada KIKO liikmeskonda nende totlejatega, kes aktiivselt ja korduvalt kasutavad KIKO pakutavaid teenusi, andes niimoodi neile võimaluse ise aktiivsemalt KIKO tegevustes kaasa rääkida</w:t>
      </w:r>
    </w:p>
    <w:p w:rsidR="006C686B" w:rsidRDefault="006C686B" w:rsidP="006C686B">
      <w:pPr>
        <w:pStyle w:val="ListParagraph"/>
        <w:numPr>
          <w:ilvl w:val="0"/>
          <w:numId w:val="3"/>
        </w:numPr>
      </w:pPr>
      <w:r>
        <w:t xml:space="preserve">Koostöö arendamine ning koordineerimine teiste piirkondliku arengu strateegiatega – võimalus tuleneb sellest, et piirkonnas suunavad arengut ka teised partnerid ning teised strateegiad (maakonna arengukava, KOV arengukavad, Virumaa Rannakalurite Ühingu strateegia, Jõhvi/Kohtla-Järve ning Narva linnapiirkonna strateegiad jm.). KIKO-l on võimalus kooridneerida </w:t>
      </w:r>
      <w:r>
        <w:lastRenderedPageBreak/>
        <w:t>oma tegevussuundi ja pingutusi nõnda, et tekiks sisuline sünergia tegevuspiirkonna arendamisel koostöös teiste partneritega.</w:t>
      </w:r>
    </w:p>
    <w:p w:rsidR="006C686B" w:rsidRDefault="00A50EAC" w:rsidP="006C686B">
      <w:pPr>
        <w:pStyle w:val="ListParagraph"/>
        <w:numPr>
          <w:ilvl w:val="0"/>
          <w:numId w:val="3"/>
        </w:numPr>
      </w:pPr>
      <w:r>
        <w:t>Turismivaldkonna arendamine – võimalus tuleneb sellest, et seni on Soome lahe kaldal paikneva pankranniku potentsiaal täielikult ära kasutamata, seda eriti mere ja pankranniku ühenduses. On olemas võimalused uute turismitoodete ja teenuste juurutamiseks ning piirkonna paremaks turundamiseks läbi pankranniku ja mere.</w:t>
      </w:r>
    </w:p>
    <w:p w:rsidR="00A50EAC" w:rsidRDefault="00A50EAC" w:rsidP="006C686B">
      <w:pPr>
        <w:pStyle w:val="ListParagraph"/>
        <w:numPr>
          <w:ilvl w:val="0"/>
          <w:numId w:val="3"/>
        </w:numPr>
      </w:pPr>
      <w:r>
        <w:t>Tegevuspiirkonna laiendamine – võimalus tuleneb KIKO-s olemasolevast koostöö ja võrgustikutöö kogemusest ning KIKO piirkonna suurest elanike arvust, mis loob eelduse uute omavalitsuste või piirkondade liitumiseks KIKO-ga</w:t>
      </w:r>
    </w:p>
    <w:p w:rsidR="00A50EAC" w:rsidRDefault="00A50EAC" w:rsidP="006C686B">
      <w:pPr>
        <w:pStyle w:val="ListParagraph"/>
        <w:numPr>
          <w:ilvl w:val="0"/>
          <w:numId w:val="3"/>
        </w:numPr>
      </w:pPr>
      <w:r>
        <w:t>EL erinevate programmide kasutamine – võimalus tuleneb KIKO-s olemasolevast töökogemusest ning liikmete kogemusest, mida läbi koostöö jagatakse.</w:t>
      </w:r>
    </w:p>
    <w:p w:rsidR="00975285" w:rsidRDefault="00975285" w:rsidP="00975285"/>
    <w:p w:rsidR="00BC57B0" w:rsidRPr="00C56B6A" w:rsidRDefault="00C56B6A">
      <w:pPr>
        <w:rPr>
          <w:b/>
        </w:rPr>
      </w:pPr>
      <w:r w:rsidRPr="00C56B6A">
        <w:rPr>
          <w:b/>
        </w:rPr>
        <w:t>Nõrkused</w:t>
      </w:r>
    </w:p>
    <w:p w:rsidR="00C56B6A" w:rsidRDefault="00C56B6A">
      <w:r>
        <w:t>Nõrkuste osas on olulisemad (tähtsuse järjekorras)</w:t>
      </w:r>
    </w:p>
    <w:p w:rsidR="00C56B6A" w:rsidRDefault="00C56B6A" w:rsidP="00C56B6A">
      <w:pPr>
        <w:pStyle w:val="ListParagraph"/>
        <w:numPr>
          <w:ilvl w:val="0"/>
          <w:numId w:val="4"/>
        </w:numPr>
      </w:pPr>
      <w:r>
        <w:t>Liikmete panustamisaktiivsus KIKO piirkonnas</w:t>
      </w:r>
      <w:r w:rsidR="008F25E3">
        <w:t xml:space="preserve"> – nõrkus loob vajaduse teha rohkem ja tõhusamat tööd KIKO liikmete organisatsioonisisese aktiivsuse kasvatamiseks ning seeläbi liikmete teadlikkuse ja väärtuspõhise käitumise parandamiseks.</w:t>
      </w:r>
    </w:p>
    <w:p w:rsidR="008F25E3" w:rsidRDefault="008F25E3" w:rsidP="00C56B6A">
      <w:pPr>
        <w:pStyle w:val="ListParagraph"/>
        <w:numPr>
          <w:ilvl w:val="0"/>
          <w:numId w:val="4"/>
        </w:numPr>
      </w:pPr>
      <w:r>
        <w:t>KIKO ja kohalike omavalitsuste koostöö korraldus pole piisav – nõrkus loob vajaduse selgemalt ja täpsemalt kujundada KIKO LEADER põhimõtetel ja väärtustel põhinevad koostöövormid omavalitsutega ning parandada kõigi partnerita vahelis kommunikatsiooniprotsesse</w:t>
      </w:r>
    </w:p>
    <w:p w:rsidR="008F25E3" w:rsidRDefault="008F25E3" w:rsidP="00C56B6A">
      <w:pPr>
        <w:pStyle w:val="ListParagraph"/>
        <w:numPr>
          <w:ilvl w:val="0"/>
          <w:numId w:val="4"/>
        </w:numPr>
      </w:pPr>
      <w:r>
        <w:t>Toetuse taotlejate poolen ebapiisav vastutuse võtmine saadud toetusprojektide realiseerimise osas – nõrkus loob vajaduse korrastada ja täpsustada tööd taotlejatega nõnda, et KIKO-st taodeldud projektid saaksid kõik ka realiseeritud luues seeläbi piirkonda paremaid arenguvõimalusi.</w:t>
      </w:r>
    </w:p>
    <w:p w:rsidR="00C44C7C" w:rsidRDefault="00C44C7C" w:rsidP="00224B19">
      <w:pPr>
        <w:rPr>
          <w:b/>
        </w:rPr>
      </w:pPr>
    </w:p>
    <w:p w:rsidR="00224B19" w:rsidRPr="00224B19" w:rsidRDefault="00224B19" w:rsidP="00224B19">
      <w:pPr>
        <w:rPr>
          <w:b/>
        </w:rPr>
      </w:pPr>
      <w:r w:rsidRPr="00224B19">
        <w:rPr>
          <w:b/>
        </w:rPr>
        <w:t>Ohud</w:t>
      </w:r>
    </w:p>
    <w:p w:rsidR="00224B19" w:rsidRDefault="00224B19" w:rsidP="00224B19">
      <w:r>
        <w:t>Olulisemad ohud tulenevad eeltoodud tähtsamatest nõrkustest</w:t>
      </w:r>
      <w:r w:rsidR="00F315DE">
        <w:t xml:space="preserve"> (tähtsuse järjekorras)</w:t>
      </w:r>
    </w:p>
    <w:p w:rsidR="00224B19" w:rsidRDefault="00F315DE" w:rsidP="00224B19">
      <w:pPr>
        <w:pStyle w:val="ListParagraph"/>
        <w:numPr>
          <w:ilvl w:val="0"/>
          <w:numId w:val="5"/>
        </w:numPr>
      </w:pPr>
      <w:r>
        <w:t xml:space="preserve">KIKO poolt seatud strateegiliste eesmärkide ebapiisav saavutamine – oht tuleneb KIKO liikmete ja KIKO kui organisatsiooni tegevuse aktiivsusest ja tõhususest. Ohu vältimiseks peab KIKO selgelt ja täpselt läbi mõtlema oma tegevuse, tagama selle tulemuslikkuse, koostööoskused ning KIKO liikmete </w:t>
      </w:r>
      <w:r>
        <w:lastRenderedPageBreak/>
        <w:t>piisava kaasatuse ning liikmeskonna laienamise selleks, et oma eesmärke saavutada.</w:t>
      </w:r>
    </w:p>
    <w:p w:rsidR="00F315DE" w:rsidRDefault="00F315DE" w:rsidP="00224B19">
      <w:pPr>
        <w:pStyle w:val="ListParagraph"/>
        <w:numPr>
          <w:ilvl w:val="0"/>
          <w:numId w:val="5"/>
        </w:numPr>
      </w:pPr>
      <w:r>
        <w:t>Kohalike omavalitsuste otsuste suur mõju KIKO territoriaalsele jätkusuutlikkusele – oht tuleneb KIKO ja tegevuspiirkonna omavalituste väärtuspõhiste koostööoskuste rakendamise keerukusest. Ohu vältimiseks on vajalik leida optimaalne huvida tagamise ja koostöövorm kohalike omavalitsuste, ettevõtjate ja kolmanda sekltori organisatsioonide vahel KIKO liikmeskonnas.</w:t>
      </w:r>
    </w:p>
    <w:p w:rsidR="00F315DE" w:rsidRDefault="00F315DE" w:rsidP="00224B19">
      <w:pPr>
        <w:pStyle w:val="ListParagraph"/>
        <w:numPr>
          <w:ilvl w:val="0"/>
          <w:numId w:val="5"/>
        </w:numPr>
      </w:pPr>
      <w:r>
        <w:t>KIKO poolt oluliseks peetud projektid jäävad realiseerimata – oht tuleneb taotlejate poolsest ebapiisavast projektide realiseerimisest, kus taotleja saab küll positiivse rahastamisotsuse, kuid ei asu oma prjekti lõpuks ikkagi realiseerima. Ohu vältimiseks tuleb leida parem taotlejate ja taotluste hindamissüsteemi korraldus, mis tagaks projekttaotluste maskimaalse elluviimise.</w:t>
      </w:r>
    </w:p>
    <w:p w:rsidR="00671BCF" w:rsidRDefault="00671BCF" w:rsidP="00671BCF"/>
    <w:p w:rsidR="00671BCF" w:rsidRPr="00AF7C23" w:rsidRDefault="00671BCF" w:rsidP="00671BCF">
      <w:pPr>
        <w:rPr>
          <w:b/>
        </w:rPr>
      </w:pPr>
      <w:r w:rsidRPr="00AF7C23">
        <w:rPr>
          <w:b/>
        </w:rPr>
        <w:t>KIKO strate</w:t>
      </w:r>
      <w:r w:rsidR="00AF7C23" w:rsidRPr="00AF7C23">
        <w:rPr>
          <w:b/>
        </w:rPr>
        <w:t>e</w:t>
      </w:r>
      <w:r w:rsidRPr="00AF7C23">
        <w:rPr>
          <w:b/>
        </w:rPr>
        <w:t xml:space="preserve">giliste </w:t>
      </w:r>
      <w:r w:rsidR="00AF7C23" w:rsidRPr="00AF7C23">
        <w:rPr>
          <w:b/>
        </w:rPr>
        <w:t>eesmärkide pingerida</w:t>
      </w:r>
    </w:p>
    <w:p w:rsidR="00AF7C23" w:rsidRDefault="00A81D6E" w:rsidP="00671BCF">
      <w:r>
        <w:t>Olulisimaks KIKO eesmärgiks on (50% KIKO toetustest):</w:t>
      </w:r>
    </w:p>
    <w:p w:rsidR="00A81D6E" w:rsidRDefault="00A81D6E" w:rsidP="00A81D6E">
      <w:pPr>
        <w:spacing w:after="0" w:line="100" w:lineRule="atLeast"/>
        <w:jc w:val="both"/>
        <w:rPr>
          <w:b/>
          <w:bCs/>
          <w:szCs w:val="24"/>
        </w:rPr>
      </w:pPr>
      <w:r w:rsidRPr="00011BD4">
        <w:rPr>
          <w:b/>
          <w:bCs/>
          <w:szCs w:val="24"/>
        </w:rPr>
        <w:t>Kirderanniku koostööpiirkonna väikeettevõtlus on teinud arenguhüppe järgnevates valdkondades:</w:t>
      </w:r>
    </w:p>
    <w:p w:rsidR="00A81D6E" w:rsidRDefault="00A81D6E" w:rsidP="00A81D6E">
      <w:pPr>
        <w:pStyle w:val="Tabelisisu"/>
        <w:numPr>
          <w:ilvl w:val="0"/>
          <w:numId w:val="6"/>
        </w:numPr>
        <w:spacing w:after="0" w:line="100" w:lineRule="atLeast"/>
        <w:jc w:val="both"/>
        <w:rPr>
          <w:b/>
          <w:iCs/>
          <w:szCs w:val="24"/>
        </w:rPr>
      </w:pPr>
      <w:r w:rsidRPr="00011BD4">
        <w:rPr>
          <w:b/>
          <w:iCs/>
          <w:szCs w:val="24"/>
        </w:rPr>
        <w:t xml:space="preserve">Kohaliku toidu ja käsitöö tootmine, põllumajandustoodete väärindamine </w:t>
      </w:r>
      <w:r>
        <w:rPr>
          <w:b/>
          <w:iCs/>
          <w:szCs w:val="24"/>
        </w:rPr>
        <w:t>t</w:t>
      </w:r>
      <w:r w:rsidRPr="00011BD4">
        <w:rPr>
          <w:b/>
          <w:iCs/>
          <w:szCs w:val="24"/>
        </w:rPr>
        <w:t>urundamine</w:t>
      </w:r>
      <w:r>
        <w:rPr>
          <w:b/>
          <w:iCs/>
          <w:szCs w:val="24"/>
        </w:rPr>
        <w:t xml:space="preserve"> ning turustamine</w:t>
      </w:r>
    </w:p>
    <w:p w:rsidR="00A81D6E" w:rsidRDefault="00A81D6E" w:rsidP="00A81D6E">
      <w:pPr>
        <w:pStyle w:val="Tabelisisu"/>
        <w:numPr>
          <w:ilvl w:val="0"/>
          <w:numId w:val="6"/>
        </w:numPr>
        <w:spacing w:after="0" w:line="100" w:lineRule="atLeast"/>
        <w:jc w:val="both"/>
        <w:rPr>
          <w:b/>
          <w:iCs/>
          <w:szCs w:val="24"/>
        </w:rPr>
      </w:pPr>
      <w:r w:rsidRPr="00011BD4">
        <w:rPr>
          <w:b/>
          <w:iCs/>
          <w:szCs w:val="24"/>
        </w:rPr>
        <w:t>Turismi</w:t>
      </w:r>
      <w:r>
        <w:rPr>
          <w:b/>
          <w:iCs/>
          <w:szCs w:val="24"/>
        </w:rPr>
        <w:t>- ja puhke</w:t>
      </w:r>
      <w:r w:rsidRPr="00011BD4">
        <w:rPr>
          <w:b/>
          <w:iCs/>
          <w:szCs w:val="24"/>
        </w:rPr>
        <w:t>teenuste osutamine ning turistidele</w:t>
      </w:r>
      <w:r>
        <w:rPr>
          <w:b/>
          <w:iCs/>
          <w:szCs w:val="24"/>
        </w:rPr>
        <w:t xml:space="preserve"> ja puhkajatele</w:t>
      </w:r>
      <w:r w:rsidRPr="00011BD4">
        <w:rPr>
          <w:b/>
          <w:iCs/>
          <w:szCs w:val="24"/>
        </w:rPr>
        <w:t xml:space="preserve"> suunatud toodete tootmine</w:t>
      </w:r>
    </w:p>
    <w:p w:rsidR="00A81D6E" w:rsidRPr="00A870A0" w:rsidRDefault="00A81D6E" w:rsidP="00A81D6E">
      <w:pPr>
        <w:pStyle w:val="Tabelisisu"/>
        <w:numPr>
          <w:ilvl w:val="0"/>
          <w:numId w:val="6"/>
        </w:numPr>
        <w:spacing w:after="0" w:line="100" w:lineRule="atLeast"/>
        <w:jc w:val="both"/>
        <w:rPr>
          <w:szCs w:val="24"/>
        </w:rPr>
      </w:pPr>
      <w:r w:rsidRPr="00A870A0">
        <w:rPr>
          <w:b/>
          <w:iCs/>
          <w:szCs w:val="24"/>
        </w:rPr>
        <w:t>Rohkem uuenduslikke teenuseid ja tooteid</w:t>
      </w:r>
      <w:r w:rsidRPr="00A870A0">
        <w:rPr>
          <w:rStyle w:val="FootnoteReference"/>
          <w:b/>
          <w:iCs/>
          <w:szCs w:val="24"/>
        </w:rPr>
        <w:footnoteReference w:id="1"/>
      </w:r>
    </w:p>
    <w:p w:rsidR="00A81D6E" w:rsidRDefault="00A81D6E" w:rsidP="00671BCF"/>
    <w:p w:rsidR="00A81D6E" w:rsidRDefault="00A81D6E" w:rsidP="00671BCF">
      <w:r>
        <w:t>Olulisuselt teiseks KIKO eesmärgiks on (ca 25% KIKO toetustest):</w:t>
      </w:r>
    </w:p>
    <w:p w:rsidR="00A81D6E" w:rsidRDefault="00A81D6E" w:rsidP="00A81D6E">
      <w:pPr>
        <w:rPr>
          <w:b/>
        </w:rPr>
      </w:pPr>
      <w:r w:rsidRPr="008D0A10">
        <w:rPr>
          <w:b/>
        </w:rPr>
        <w:t xml:space="preserve">Kirderanniku koostööpiirkonna elukeskkonna kvaliteet on kasvanud pakkudes rohkem </w:t>
      </w:r>
      <w:r>
        <w:rPr>
          <w:b/>
        </w:rPr>
        <w:t>elukeskkonna</w:t>
      </w:r>
      <w:r w:rsidRPr="008D0A10">
        <w:rPr>
          <w:b/>
        </w:rPr>
        <w:t xml:space="preserve"> teenuseid elanikele ja külastajatele</w:t>
      </w:r>
    </w:p>
    <w:p w:rsidR="00A81D6E" w:rsidRDefault="00A81D6E" w:rsidP="00A81D6E">
      <w:pPr>
        <w:rPr>
          <w:b/>
        </w:rPr>
      </w:pPr>
    </w:p>
    <w:p w:rsidR="00A81D6E" w:rsidRDefault="00A81D6E" w:rsidP="00A81D6E">
      <w:r w:rsidRPr="00A81D6E">
        <w:t>Olulisuselt kolmandaks KIKO eesmärgiks on</w:t>
      </w:r>
      <w:r>
        <w:t xml:space="preserve"> (ca 25% KIKO toetustest):</w:t>
      </w:r>
    </w:p>
    <w:p w:rsidR="00A81D6E" w:rsidRPr="00FD5698" w:rsidRDefault="00A81D6E" w:rsidP="00A81D6E">
      <w:pPr>
        <w:rPr>
          <w:b/>
        </w:rPr>
      </w:pPr>
      <w:r w:rsidRPr="001F1244">
        <w:rPr>
          <w:b/>
        </w:rPr>
        <w:t>K</w:t>
      </w:r>
      <w:r w:rsidRPr="00FD5698">
        <w:rPr>
          <w:b/>
        </w:rPr>
        <w:t>irderanniku koostööpiirkonna kogukond on aktiivne ja teovõimekas tänu:</w:t>
      </w:r>
    </w:p>
    <w:p w:rsidR="00A81D6E" w:rsidRDefault="00A81D6E" w:rsidP="00A81D6E">
      <w:pPr>
        <w:pStyle w:val="ListParagraph"/>
        <w:numPr>
          <w:ilvl w:val="0"/>
          <w:numId w:val="8"/>
        </w:numPr>
        <w:rPr>
          <w:b/>
        </w:rPr>
      </w:pPr>
      <w:r w:rsidRPr="00FD5698">
        <w:rPr>
          <w:b/>
        </w:rPr>
        <w:t>Kogukonna kõrgele ettevõtlikkusele</w:t>
      </w:r>
      <w:r>
        <w:rPr>
          <w:b/>
        </w:rPr>
        <w:t xml:space="preserve"> </w:t>
      </w:r>
      <w:r w:rsidRPr="00FD5698">
        <w:rPr>
          <w:b/>
        </w:rPr>
        <w:t>ja seda eriti noorte hulgas</w:t>
      </w:r>
    </w:p>
    <w:p w:rsidR="00A81D6E" w:rsidRPr="00FD5698" w:rsidRDefault="00A81D6E" w:rsidP="00A81D6E">
      <w:pPr>
        <w:pStyle w:val="ListParagraph"/>
        <w:numPr>
          <w:ilvl w:val="0"/>
          <w:numId w:val="8"/>
        </w:numPr>
        <w:rPr>
          <w:b/>
        </w:rPr>
      </w:pPr>
      <w:r w:rsidRPr="00FD5698">
        <w:rPr>
          <w:b/>
        </w:rPr>
        <w:t>Piirkonna aktiivsele kultuuri- ja spordielule</w:t>
      </w:r>
    </w:p>
    <w:p w:rsidR="00A81D6E" w:rsidRDefault="00A81D6E">
      <w:r>
        <w:br w:type="page"/>
      </w:r>
    </w:p>
    <w:p w:rsidR="00A81D6E" w:rsidRPr="00A81D6E" w:rsidRDefault="00A81D6E" w:rsidP="00671BCF">
      <w:pPr>
        <w:rPr>
          <w:i/>
        </w:rPr>
      </w:pPr>
      <w:r w:rsidRPr="00A81D6E">
        <w:rPr>
          <w:i/>
        </w:rPr>
        <w:lastRenderedPageBreak/>
        <w:t>Strateegiadokumendi väljavõte eesmärkide osast (5.2) tööversioonist seisuga 16.09.2014</w:t>
      </w:r>
    </w:p>
    <w:p w:rsidR="00A81D6E" w:rsidRDefault="00A81D6E" w:rsidP="00A81D6E">
      <w:pPr>
        <w:spacing w:after="0" w:line="100" w:lineRule="atLeast"/>
        <w:jc w:val="both"/>
        <w:rPr>
          <w:b/>
          <w:bCs/>
          <w:szCs w:val="24"/>
        </w:rPr>
      </w:pPr>
      <w:r w:rsidRPr="00011BD4">
        <w:rPr>
          <w:b/>
          <w:bCs/>
          <w:szCs w:val="24"/>
        </w:rPr>
        <w:t>Kirderanniku koostööpiirkonna väikeettevõtlus on teinud arenguhüppe järgnevates valdkondades:</w:t>
      </w:r>
    </w:p>
    <w:p w:rsidR="00A81D6E" w:rsidRPr="00011BD4" w:rsidRDefault="00A81D6E" w:rsidP="00A81D6E">
      <w:pPr>
        <w:spacing w:after="0" w:line="100" w:lineRule="atLeast"/>
        <w:jc w:val="both"/>
        <w:rPr>
          <w:b/>
          <w:bCs/>
          <w:szCs w:val="24"/>
        </w:rPr>
      </w:pPr>
    </w:p>
    <w:p w:rsidR="00A81D6E" w:rsidRDefault="00A81D6E" w:rsidP="00A81D6E">
      <w:pPr>
        <w:pStyle w:val="Tabelisisu"/>
        <w:numPr>
          <w:ilvl w:val="0"/>
          <w:numId w:val="6"/>
        </w:numPr>
        <w:spacing w:after="0" w:line="100" w:lineRule="atLeast"/>
        <w:jc w:val="both"/>
        <w:rPr>
          <w:b/>
          <w:iCs/>
          <w:szCs w:val="24"/>
        </w:rPr>
      </w:pPr>
      <w:r w:rsidRPr="00011BD4">
        <w:rPr>
          <w:b/>
          <w:iCs/>
          <w:szCs w:val="24"/>
        </w:rPr>
        <w:t xml:space="preserve">Kohaliku toidu ja käsitöö tootmine, põllumajandustoodete väärindamine </w:t>
      </w:r>
      <w:r>
        <w:rPr>
          <w:b/>
          <w:iCs/>
          <w:szCs w:val="24"/>
        </w:rPr>
        <w:t>t</w:t>
      </w:r>
      <w:r w:rsidRPr="00011BD4">
        <w:rPr>
          <w:b/>
          <w:iCs/>
          <w:szCs w:val="24"/>
        </w:rPr>
        <w:t>urundamine</w:t>
      </w:r>
      <w:r>
        <w:rPr>
          <w:b/>
          <w:iCs/>
          <w:szCs w:val="24"/>
        </w:rPr>
        <w:t xml:space="preserve"> ning turustamine</w:t>
      </w:r>
    </w:p>
    <w:p w:rsidR="00A81D6E" w:rsidRDefault="00A81D6E" w:rsidP="00A81D6E">
      <w:pPr>
        <w:pStyle w:val="Tabelisisu"/>
        <w:spacing w:after="0" w:line="100" w:lineRule="atLeast"/>
        <w:jc w:val="both"/>
        <w:rPr>
          <w:b/>
          <w:iCs/>
          <w:szCs w:val="24"/>
        </w:rPr>
      </w:pPr>
    </w:p>
    <w:p w:rsidR="00A81D6E" w:rsidRPr="00A81D6E" w:rsidRDefault="00A81D6E" w:rsidP="00A81D6E">
      <w:pPr>
        <w:pStyle w:val="Tabelisisu"/>
        <w:spacing w:after="0" w:line="100" w:lineRule="atLeast"/>
        <w:ind w:left="360"/>
        <w:jc w:val="both"/>
        <w:rPr>
          <w:i/>
          <w:iCs/>
          <w:szCs w:val="24"/>
        </w:rPr>
      </w:pPr>
      <w:r w:rsidRPr="00A81D6E">
        <w:rPr>
          <w:i/>
          <w:iCs/>
          <w:szCs w:val="24"/>
        </w:rPr>
        <w:t>Tulemusmõõdik:</w:t>
      </w:r>
    </w:p>
    <w:p w:rsidR="00A81D6E" w:rsidRPr="00A81D6E" w:rsidRDefault="00A81D6E" w:rsidP="00A81D6E">
      <w:pPr>
        <w:pStyle w:val="Tabelisisu"/>
        <w:spacing w:after="0" w:line="100" w:lineRule="atLeast"/>
        <w:ind w:left="360"/>
        <w:jc w:val="both"/>
        <w:rPr>
          <w:i/>
          <w:iCs/>
          <w:szCs w:val="24"/>
        </w:rPr>
      </w:pPr>
    </w:p>
    <w:p w:rsidR="00A81D6E" w:rsidRPr="00A81D6E" w:rsidRDefault="00A81D6E" w:rsidP="00A81D6E">
      <w:pPr>
        <w:pStyle w:val="ListParagraph"/>
        <w:numPr>
          <w:ilvl w:val="0"/>
          <w:numId w:val="7"/>
        </w:numPr>
        <w:ind w:left="1080"/>
        <w:rPr>
          <w:i/>
        </w:rPr>
      </w:pPr>
      <w:r w:rsidRPr="00A81D6E">
        <w:rPr>
          <w:i/>
        </w:rPr>
        <w:t xml:space="preserve">Kohaliku Toidu võrgustiku liikmete müügikäibe kasv </w:t>
      </w:r>
    </w:p>
    <w:p w:rsidR="00A81D6E" w:rsidRPr="00A81D6E" w:rsidRDefault="00A81D6E" w:rsidP="00A81D6E">
      <w:pPr>
        <w:ind w:left="360"/>
        <w:rPr>
          <w:i/>
        </w:rPr>
      </w:pPr>
      <w:r w:rsidRPr="00A81D6E">
        <w:rPr>
          <w:i/>
        </w:rPr>
        <w:t>Väljundmõõdik:</w:t>
      </w:r>
    </w:p>
    <w:p w:rsidR="00A81D6E" w:rsidRPr="00A81D6E" w:rsidRDefault="00A81D6E" w:rsidP="00A81D6E">
      <w:pPr>
        <w:pStyle w:val="ListParagraph"/>
        <w:numPr>
          <w:ilvl w:val="0"/>
          <w:numId w:val="7"/>
        </w:numPr>
        <w:ind w:left="1080"/>
        <w:rPr>
          <w:i/>
        </w:rPr>
      </w:pPr>
      <w:r w:rsidRPr="00A81D6E">
        <w:rPr>
          <w:i/>
        </w:rPr>
        <w:t>Kohaliku Toidu valdkonna projektide arv ja rahaline maht</w:t>
      </w:r>
    </w:p>
    <w:p w:rsidR="00A81D6E" w:rsidRDefault="00A81D6E" w:rsidP="00A81D6E">
      <w:pPr>
        <w:pStyle w:val="Tabelisisu"/>
        <w:spacing w:after="0" w:line="100" w:lineRule="atLeast"/>
        <w:jc w:val="both"/>
        <w:rPr>
          <w:b/>
          <w:iCs/>
          <w:szCs w:val="24"/>
        </w:rPr>
      </w:pPr>
    </w:p>
    <w:p w:rsidR="00A81D6E" w:rsidRPr="00011BD4" w:rsidRDefault="00A81D6E" w:rsidP="00A81D6E">
      <w:pPr>
        <w:pStyle w:val="Tabelisisu"/>
        <w:spacing w:after="0" w:line="100" w:lineRule="atLeast"/>
        <w:jc w:val="both"/>
        <w:rPr>
          <w:b/>
          <w:iCs/>
          <w:szCs w:val="24"/>
        </w:rPr>
      </w:pPr>
    </w:p>
    <w:p w:rsidR="00A81D6E" w:rsidRDefault="00A81D6E" w:rsidP="00A81D6E">
      <w:pPr>
        <w:pStyle w:val="Tabelisisu"/>
        <w:numPr>
          <w:ilvl w:val="0"/>
          <w:numId w:val="6"/>
        </w:numPr>
        <w:spacing w:after="0" w:line="100" w:lineRule="atLeast"/>
        <w:jc w:val="both"/>
        <w:rPr>
          <w:b/>
          <w:iCs/>
          <w:szCs w:val="24"/>
        </w:rPr>
      </w:pPr>
      <w:r w:rsidRPr="00011BD4">
        <w:rPr>
          <w:b/>
          <w:iCs/>
          <w:szCs w:val="24"/>
        </w:rPr>
        <w:t>Turismi</w:t>
      </w:r>
      <w:r>
        <w:rPr>
          <w:b/>
          <w:iCs/>
          <w:szCs w:val="24"/>
        </w:rPr>
        <w:t>- ja puhke</w:t>
      </w:r>
      <w:r w:rsidRPr="00011BD4">
        <w:rPr>
          <w:b/>
          <w:iCs/>
          <w:szCs w:val="24"/>
        </w:rPr>
        <w:t>teenuste osutamine ning turistidele</w:t>
      </w:r>
      <w:r>
        <w:rPr>
          <w:b/>
          <w:iCs/>
          <w:szCs w:val="24"/>
        </w:rPr>
        <w:t xml:space="preserve"> ja puhkajatele</w:t>
      </w:r>
      <w:r w:rsidRPr="00011BD4">
        <w:rPr>
          <w:b/>
          <w:iCs/>
          <w:szCs w:val="24"/>
        </w:rPr>
        <w:t xml:space="preserve"> suunatud toodete tootmine</w:t>
      </w:r>
    </w:p>
    <w:p w:rsidR="00A81D6E" w:rsidRDefault="00A81D6E" w:rsidP="00A81D6E">
      <w:pPr>
        <w:pStyle w:val="Tabelisisu"/>
        <w:spacing w:after="0" w:line="100" w:lineRule="atLeast"/>
        <w:jc w:val="both"/>
        <w:rPr>
          <w:b/>
          <w:iCs/>
          <w:szCs w:val="24"/>
        </w:rPr>
      </w:pPr>
    </w:p>
    <w:p w:rsidR="00A81D6E" w:rsidRPr="00A81D6E" w:rsidRDefault="00A81D6E" w:rsidP="00A81D6E">
      <w:pPr>
        <w:pStyle w:val="Tabelisisu"/>
        <w:spacing w:after="0" w:line="100" w:lineRule="atLeast"/>
        <w:ind w:left="360"/>
        <w:jc w:val="both"/>
        <w:rPr>
          <w:i/>
          <w:iCs/>
          <w:szCs w:val="24"/>
        </w:rPr>
      </w:pPr>
      <w:r w:rsidRPr="00A81D6E">
        <w:rPr>
          <w:i/>
          <w:iCs/>
          <w:szCs w:val="24"/>
        </w:rPr>
        <w:t>Tulemusmõõdik:</w:t>
      </w:r>
    </w:p>
    <w:p w:rsidR="00A81D6E" w:rsidRPr="00A81D6E" w:rsidRDefault="00A81D6E" w:rsidP="00A81D6E">
      <w:pPr>
        <w:pStyle w:val="Tabelisisu"/>
        <w:spacing w:after="0" w:line="100" w:lineRule="atLeast"/>
        <w:ind w:left="360"/>
        <w:jc w:val="both"/>
        <w:rPr>
          <w:i/>
          <w:iCs/>
          <w:szCs w:val="24"/>
        </w:rPr>
      </w:pPr>
    </w:p>
    <w:p w:rsidR="00A81D6E" w:rsidRPr="00A81D6E" w:rsidRDefault="00A81D6E" w:rsidP="00A81D6E">
      <w:pPr>
        <w:pStyle w:val="ListParagraph"/>
        <w:numPr>
          <w:ilvl w:val="0"/>
          <w:numId w:val="7"/>
        </w:numPr>
        <w:ind w:left="1080"/>
        <w:rPr>
          <w:i/>
        </w:rPr>
      </w:pPr>
      <w:r w:rsidRPr="00A81D6E">
        <w:rPr>
          <w:i/>
        </w:rPr>
        <w:t xml:space="preserve">Turistidele ja puhkajatele suuunatud teenuste ja toodete arv </w:t>
      </w:r>
    </w:p>
    <w:p w:rsidR="00A81D6E" w:rsidRPr="00A81D6E" w:rsidRDefault="00A81D6E" w:rsidP="00A81D6E">
      <w:pPr>
        <w:pStyle w:val="Tabelisisu"/>
        <w:spacing w:after="0" w:line="100" w:lineRule="atLeast"/>
        <w:ind w:left="360"/>
        <w:jc w:val="both"/>
        <w:rPr>
          <w:i/>
          <w:iCs/>
          <w:szCs w:val="24"/>
        </w:rPr>
      </w:pPr>
    </w:p>
    <w:p w:rsidR="00A81D6E" w:rsidRPr="00A81D6E" w:rsidRDefault="00A81D6E" w:rsidP="00A81D6E">
      <w:pPr>
        <w:pStyle w:val="Tabelisisu"/>
        <w:spacing w:after="0" w:line="100" w:lineRule="atLeast"/>
        <w:ind w:left="360"/>
        <w:jc w:val="both"/>
        <w:rPr>
          <w:i/>
          <w:iCs/>
          <w:szCs w:val="24"/>
        </w:rPr>
      </w:pPr>
      <w:r w:rsidRPr="00A81D6E">
        <w:rPr>
          <w:i/>
          <w:iCs/>
          <w:szCs w:val="24"/>
        </w:rPr>
        <w:t>Väljundmõõdik:</w:t>
      </w:r>
    </w:p>
    <w:p w:rsidR="00A81D6E" w:rsidRPr="00A81D6E" w:rsidRDefault="00A81D6E" w:rsidP="00A81D6E">
      <w:pPr>
        <w:pStyle w:val="Tabelisisu"/>
        <w:spacing w:after="0" w:line="100" w:lineRule="atLeast"/>
        <w:ind w:left="360"/>
        <w:jc w:val="both"/>
        <w:rPr>
          <w:i/>
          <w:iCs/>
          <w:szCs w:val="24"/>
        </w:rPr>
      </w:pPr>
    </w:p>
    <w:p w:rsidR="00A81D6E" w:rsidRPr="00A81D6E" w:rsidRDefault="00A81D6E" w:rsidP="00A81D6E">
      <w:pPr>
        <w:pStyle w:val="Tabelisisu"/>
        <w:numPr>
          <w:ilvl w:val="0"/>
          <w:numId w:val="7"/>
        </w:numPr>
        <w:spacing w:after="0" w:line="100" w:lineRule="atLeast"/>
        <w:ind w:left="1080"/>
        <w:jc w:val="both"/>
        <w:rPr>
          <w:i/>
          <w:iCs/>
          <w:szCs w:val="24"/>
        </w:rPr>
      </w:pPr>
      <w:r w:rsidRPr="00A81D6E">
        <w:rPr>
          <w:i/>
          <w:iCs/>
          <w:szCs w:val="24"/>
        </w:rPr>
        <w:t>Turismivaldkonna projektide arv ja rahaline maht</w:t>
      </w:r>
    </w:p>
    <w:p w:rsidR="00A81D6E" w:rsidRDefault="00A81D6E" w:rsidP="00A81D6E">
      <w:pPr>
        <w:pStyle w:val="Tabelisisu"/>
        <w:spacing w:after="0" w:line="100" w:lineRule="atLeast"/>
        <w:ind w:left="360"/>
        <w:jc w:val="both"/>
        <w:rPr>
          <w:b/>
          <w:iCs/>
          <w:szCs w:val="24"/>
        </w:rPr>
      </w:pPr>
    </w:p>
    <w:p w:rsidR="00A81D6E" w:rsidRPr="00011BD4" w:rsidRDefault="00A81D6E" w:rsidP="00A81D6E">
      <w:pPr>
        <w:pStyle w:val="Tabelisisu"/>
        <w:spacing w:after="0" w:line="100" w:lineRule="atLeast"/>
        <w:jc w:val="both"/>
        <w:rPr>
          <w:b/>
          <w:iCs/>
          <w:szCs w:val="24"/>
        </w:rPr>
      </w:pPr>
    </w:p>
    <w:p w:rsidR="00A81D6E" w:rsidRPr="00A870A0" w:rsidRDefault="00A81D6E" w:rsidP="00A81D6E">
      <w:pPr>
        <w:pStyle w:val="Tabelisisu"/>
        <w:numPr>
          <w:ilvl w:val="0"/>
          <w:numId w:val="6"/>
        </w:numPr>
        <w:spacing w:after="0" w:line="100" w:lineRule="atLeast"/>
        <w:jc w:val="both"/>
        <w:rPr>
          <w:szCs w:val="24"/>
        </w:rPr>
      </w:pPr>
      <w:r w:rsidRPr="00A870A0">
        <w:rPr>
          <w:b/>
          <w:iCs/>
          <w:szCs w:val="24"/>
        </w:rPr>
        <w:t>Rohkem uuenduslikke teenuseid ja tooteid</w:t>
      </w:r>
      <w:r w:rsidRPr="00A870A0">
        <w:rPr>
          <w:rStyle w:val="FootnoteReference"/>
          <w:b/>
          <w:iCs/>
          <w:szCs w:val="24"/>
        </w:rPr>
        <w:footnoteReference w:id="2"/>
      </w:r>
    </w:p>
    <w:p w:rsidR="00A81D6E" w:rsidRDefault="00A81D6E" w:rsidP="00A81D6E">
      <w:pPr>
        <w:rPr>
          <w:i/>
        </w:rPr>
      </w:pPr>
    </w:p>
    <w:p w:rsidR="00A81D6E" w:rsidRPr="00A81D6E" w:rsidRDefault="00A81D6E" w:rsidP="00A81D6E">
      <w:pPr>
        <w:ind w:left="360"/>
        <w:rPr>
          <w:i/>
        </w:rPr>
      </w:pPr>
      <w:r w:rsidRPr="00A81D6E">
        <w:rPr>
          <w:i/>
        </w:rPr>
        <w:t>Tulemusmõõdik:</w:t>
      </w:r>
    </w:p>
    <w:p w:rsidR="00A81D6E" w:rsidRPr="00A81D6E" w:rsidRDefault="00A81D6E" w:rsidP="00A81D6E">
      <w:pPr>
        <w:pStyle w:val="ListParagraph"/>
        <w:numPr>
          <w:ilvl w:val="0"/>
          <w:numId w:val="7"/>
        </w:numPr>
        <w:ind w:left="1080"/>
        <w:rPr>
          <w:i/>
        </w:rPr>
      </w:pPr>
      <w:r w:rsidRPr="00A81D6E">
        <w:rPr>
          <w:i/>
        </w:rPr>
        <w:t>KIKO toel uuenduslikke tooteid pakkuvate ettevõtete sotsiaalmaksu hulk töötaja kohta aastas</w:t>
      </w:r>
    </w:p>
    <w:p w:rsidR="00A81D6E" w:rsidRPr="00A81D6E" w:rsidRDefault="00A81D6E" w:rsidP="00A81D6E">
      <w:pPr>
        <w:ind w:left="360"/>
        <w:rPr>
          <w:i/>
        </w:rPr>
      </w:pPr>
      <w:r w:rsidRPr="00A81D6E">
        <w:rPr>
          <w:i/>
        </w:rPr>
        <w:t>Väljundmõõdik:</w:t>
      </w:r>
    </w:p>
    <w:p w:rsidR="00A81D6E" w:rsidRPr="00A81D6E" w:rsidRDefault="00A81D6E" w:rsidP="00A81D6E">
      <w:pPr>
        <w:pStyle w:val="ListParagraph"/>
        <w:numPr>
          <w:ilvl w:val="0"/>
          <w:numId w:val="7"/>
        </w:numPr>
        <w:ind w:left="1080"/>
        <w:rPr>
          <w:i/>
        </w:rPr>
      </w:pPr>
      <w:r w:rsidRPr="00A81D6E">
        <w:rPr>
          <w:i/>
        </w:rPr>
        <w:t>Piirkonnas KIKO toel pakutavate uuenduslike teeuste ja toodete arv</w:t>
      </w:r>
    </w:p>
    <w:p w:rsidR="00A81D6E" w:rsidRPr="001F1244" w:rsidRDefault="00A81D6E" w:rsidP="00A81D6E">
      <w:pPr>
        <w:pStyle w:val="ListParagraph"/>
      </w:pPr>
    </w:p>
    <w:p w:rsidR="00A81D6E" w:rsidRDefault="00A81D6E" w:rsidP="00A81D6E">
      <w:pPr>
        <w:rPr>
          <w:szCs w:val="24"/>
        </w:rPr>
      </w:pPr>
    </w:p>
    <w:p w:rsidR="00A81D6E" w:rsidRPr="008D0A10" w:rsidRDefault="00A81D6E" w:rsidP="00A81D6E">
      <w:pPr>
        <w:rPr>
          <w:b/>
        </w:rPr>
      </w:pPr>
      <w:r w:rsidRPr="008D0A10">
        <w:rPr>
          <w:b/>
        </w:rPr>
        <w:lastRenderedPageBreak/>
        <w:t xml:space="preserve">Kirderanniku koostööpiirkonna elukeskkonna kvaliteet on kasvanud pakkudes rohkem </w:t>
      </w:r>
      <w:r>
        <w:rPr>
          <w:b/>
        </w:rPr>
        <w:t>elukeskkonna</w:t>
      </w:r>
      <w:r w:rsidRPr="008D0A10">
        <w:rPr>
          <w:b/>
        </w:rPr>
        <w:t xml:space="preserve"> teenuseid elanikele ja külastajatele</w:t>
      </w:r>
    </w:p>
    <w:p w:rsidR="00A81D6E" w:rsidRPr="00A81D6E" w:rsidRDefault="00A81D6E" w:rsidP="00A81D6E">
      <w:pPr>
        <w:ind w:left="360"/>
        <w:rPr>
          <w:i/>
        </w:rPr>
      </w:pPr>
      <w:r w:rsidRPr="00A81D6E">
        <w:rPr>
          <w:i/>
        </w:rPr>
        <w:t>Tulemusmõõdik:</w:t>
      </w:r>
    </w:p>
    <w:p w:rsidR="00A81D6E" w:rsidRPr="00A81D6E" w:rsidRDefault="00A81D6E" w:rsidP="00A81D6E">
      <w:pPr>
        <w:pStyle w:val="ListParagraph"/>
        <w:numPr>
          <w:ilvl w:val="0"/>
          <w:numId w:val="8"/>
        </w:numPr>
        <w:ind w:left="1080"/>
        <w:rPr>
          <w:i/>
        </w:rPr>
      </w:pPr>
      <w:r w:rsidRPr="00A81D6E">
        <w:rPr>
          <w:i/>
        </w:rPr>
        <w:t>Jätkusuutlike elukeskkonna teenuste</w:t>
      </w:r>
      <w:r w:rsidRPr="00A81D6E">
        <w:rPr>
          <w:rStyle w:val="FootnoteReference"/>
          <w:i/>
        </w:rPr>
        <w:footnoteReference w:id="3"/>
      </w:r>
      <w:r w:rsidRPr="00A81D6E">
        <w:rPr>
          <w:i/>
        </w:rPr>
        <w:t xml:space="preserve"> arv </w:t>
      </w:r>
    </w:p>
    <w:p w:rsidR="00A81D6E" w:rsidRPr="00A81D6E" w:rsidRDefault="00A81D6E" w:rsidP="00A81D6E">
      <w:pPr>
        <w:ind w:left="360"/>
        <w:rPr>
          <w:i/>
        </w:rPr>
      </w:pPr>
      <w:r w:rsidRPr="00A81D6E">
        <w:rPr>
          <w:i/>
        </w:rPr>
        <w:t>Väljundmõõdik:</w:t>
      </w:r>
    </w:p>
    <w:p w:rsidR="00A81D6E" w:rsidRPr="00A81D6E" w:rsidRDefault="00A81D6E" w:rsidP="00A81D6E">
      <w:pPr>
        <w:pStyle w:val="ListParagraph"/>
        <w:numPr>
          <w:ilvl w:val="0"/>
          <w:numId w:val="8"/>
        </w:numPr>
        <w:ind w:left="1080"/>
        <w:rPr>
          <w:b/>
          <w:i/>
        </w:rPr>
      </w:pPr>
      <w:r w:rsidRPr="00A81D6E">
        <w:rPr>
          <w:i/>
        </w:rPr>
        <w:t xml:space="preserve">Elukeskkonna teenuste valdkonna projektide arv ja rahline maht. </w:t>
      </w:r>
    </w:p>
    <w:p w:rsidR="00A81D6E" w:rsidRDefault="00A81D6E" w:rsidP="00A81D6E">
      <w:pPr>
        <w:rPr>
          <w:b/>
        </w:rPr>
      </w:pPr>
    </w:p>
    <w:p w:rsidR="00A81D6E" w:rsidRDefault="00A81D6E" w:rsidP="00A81D6E">
      <w:pPr>
        <w:rPr>
          <w:b/>
        </w:rPr>
      </w:pPr>
    </w:p>
    <w:p w:rsidR="00A81D6E" w:rsidRPr="00FD5698" w:rsidRDefault="00A81D6E" w:rsidP="00A81D6E">
      <w:pPr>
        <w:rPr>
          <w:b/>
        </w:rPr>
      </w:pPr>
      <w:r w:rsidRPr="001F1244">
        <w:rPr>
          <w:b/>
        </w:rPr>
        <w:t>K</w:t>
      </w:r>
      <w:r w:rsidRPr="00FD5698">
        <w:rPr>
          <w:b/>
        </w:rPr>
        <w:t>irderanniku koostööpiirkonna kogukond on aktiivne ja teovõimekas tänu:</w:t>
      </w:r>
    </w:p>
    <w:p w:rsidR="00A81D6E" w:rsidRDefault="00A81D6E" w:rsidP="00A81D6E">
      <w:pPr>
        <w:pStyle w:val="ListParagraph"/>
        <w:numPr>
          <w:ilvl w:val="0"/>
          <w:numId w:val="8"/>
        </w:numPr>
        <w:rPr>
          <w:b/>
        </w:rPr>
      </w:pPr>
      <w:r w:rsidRPr="00FD5698">
        <w:rPr>
          <w:b/>
        </w:rPr>
        <w:t>Kogukonna kõrgele ettevõtlikkusele</w:t>
      </w:r>
      <w:r>
        <w:rPr>
          <w:b/>
        </w:rPr>
        <w:t xml:space="preserve"> </w:t>
      </w:r>
      <w:r w:rsidRPr="00FD5698">
        <w:rPr>
          <w:b/>
        </w:rPr>
        <w:t>ja seda eriti noorte hulgas</w:t>
      </w:r>
    </w:p>
    <w:p w:rsidR="00A81D6E" w:rsidRDefault="00A81D6E" w:rsidP="00A81D6E">
      <w:pPr>
        <w:rPr>
          <w:b/>
        </w:rPr>
      </w:pPr>
    </w:p>
    <w:p w:rsidR="00A81D6E" w:rsidRPr="00A81D6E" w:rsidRDefault="00A81D6E" w:rsidP="00A81D6E">
      <w:pPr>
        <w:ind w:left="360"/>
        <w:rPr>
          <w:i/>
        </w:rPr>
      </w:pPr>
      <w:r w:rsidRPr="00A81D6E">
        <w:rPr>
          <w:i/>
        </w:rPr>
        <w:t>Tulemusmõõdik:</w:t>
      </w:r>
    </w:p>
    <w:p w:rsidR="00A81D6E" w:rsidRPr="00A81D6E" w:rsidRDefault="00A81D6E" w:rsidP="00A81D6E">
      <w:pPr>
        <w:pStyle w:val="ListParagraph"/>
        <w:numPr>
          <w:ilvl w:val="0"/>
          <w:numId w:val="8"/>
        </w:numPr>
        <w:ind w:left="1080"/>
        <w:rPr>
          <w:i/>
        </w:rPr>
      </w:pPr>
      <w:r w:rsidRPr="00A81D6E">
        <w:rPr>
          <w:i/>
        </w:rPr>
        <w:t>KIKO tegevuspiirkonna ettevõtlusaktiivsus (kõrgem kui maakonna keskmine)</w:t>
      </w:r>
    </w:p>
    <w:p w:rsidR="00A81D6E" w:rsidRPr="00A81D6E" w:rsidRDefault="00A81D6E" w:rsidP="00A81D6E">
      <w:pPr>
        <w:ind w:left="360"/>
        <w:rPr>
          <w:i/>
        </w:rPr>
      </w:pPr>
      <w:r w:rsidRPr="00A81D6E">
        <w:rPr>
          <w:i/>
        </w:rPr>
        <w:t>Väljundmõõdik:</w:t>
      </w:r>
    </w:p>
    <w:p w:rsidR="00A81D6E" w:rsidRPr="00A81D6E" w:rsidRDefault="00A81D6E" w:rsidP="00A81D6E">
      <w:pPr>
        <w:pStyle w:val="ListParagraph"/>
        <w:numPr>
          <w:ilvl w:val="0"/>
          <w:numId w:val="8"/>
        </w:numPr>
        <w:ind w:left="1080"/>
        <w:rPr>
          <w:i/>
        </w:rPr>
      </w:pPr>
      <w:r w:rsidRPr="00A81D6E">
        <w:rPr>
          <w:i/>
        </w:rPr>
        <w:t>Ettevõtlikkuse ja noorsootöö valdkonna projektide hulk ja rahaline maht</w:t>
      </w:r>
    </w:p>
    <w:p w:rsidR="00A81D6E" w:rsidRPr="009818E1" w:rsidRDefault="00A81D6E" w:rsidP="00A81D6E">
      <w:pPr>
        <w:rPr>
          <w:b/>
        </w:rPr>
      </w:pPr>
    </w:p>
    <w:p w:rsidR="00A81D6E" w:rsidRPr="00FD5698" w:rsidRDefault="00A81D6E" w:rsidP="00A81D6E">
      <w:pPr>
        <w:pStyle w:val="ListParagraph"/>
        <w:numPr>
          <w:ilvl w:val="0"/>
          <w:numId w:val="8"/>
        </w:numPr>
        <w:rPr>
          <w:b/>
        </w:rPr>
      </w:pPr>
      <w:r w:rsidRPr="00FD5698">
        <w:rPr>
          <w:b/>
        </w:rPr>
        <w:t>Piirkonna aktiivsele kultuuri- ja spordielule</w:t>
      </w:r>
    </w:p>
    <w:p w:rsidR="00A81D6E" w:rsidRPr="00A81D6E" w:rsidRDefault="00A81D6E" w:rsidP="00A81D6E">
      <w:pPr>
        <w:ind w:left="360"/>
        <w:rPr>
          <w:i/>
        </w:rPr>
      </w:pPr>
      <w:r w:rsidRPr="00A81D6E">
        <w:rPr>
          <w:i/>
        </w:rPr>
        <w:t>Tulemusmõõdikud:</w:t>
      </w:r>
    </w:p>
    <w:p w:rsidR="00A81D6E" w:rsidRPr="00A81D6E" w:rsidRDefault="00A81D6E" w:rsidP="00A81D6E">
      <w:pPr>
        <w:pStyle w:val="ListParagraph"/>
        <w:numPr>
          <w:ilvl w:val="0"/>
          <w:numId w:val="9"/>
        </w:numPr>
        <w:ind w:left="1080"/>
        <w:rPr>
          <w:i/>
        </w:rPr>
      </w:pPr>
      <w:r w:rsidRPr="00A81D6E">
        <w:rPr>
          <w:i/>
        </w:rPr>
        <w:t>KIKO piirkonna maakondlike spordi-ja kultuuriürituste hulk</w:t>
      </w:r>
    </w:p>
    <w:p w:rsidR="00A81D6E" w:rsidRPr="00A81D6E" w:rsidRDefault="00A81D6E" w:rsidP="00A81D6E">
      <w:pPr>
        <w:ind w:left="360"/>
        <w:rPr>
          <w:i/>
        </w:rPr>
      </w:pPr>
      <w:r w:rsidRPr="00A81D6E">
        <w:rPr>
          <w:i/>
        </w:rPr>
        <w:t>Väljundmõõdik:</w:t>
      </w:r>
    </w:p>
    <w:p w:rsidR="00A81D6E" w:rsidRPr="00A81D6E" w:rsidRDefault="00A81D6E" w:rsidP="00A81D6E">
      <w:pPr>
        <w:pStyle w:val="ListParagraph"/>
        <w:numPr>
          <w:ilvl w:val="0"/>
          <w:numId w:val="9"/>
        </w:numPr>
        <w:ind w:left="1080"/>
        <w:rPr>
          <w:i/>
        </w:rPr>
      </w:pPr>
      <w:r w:rsidRPr="00A81D6E">
        <w:rPr>
          <w:i/>
        </w:rPr>
        <w:t>Kultuuri ja spordivaldkonna projektide arv ja rahaline maht.</w:t>
      </w:r>
    </w:p>
    <w:p w:rsidR="00A81D6E" w:rsidRDefault="00A81D6E" w:rsidP="00A81D6E"/>
    <w:p w:rsidR="00A81D6E" w:rsidRDefault="00A81D6E" w:rsidP="00671BCF"/>
    <w:sectPr w:rsidR="00A81D6E" w:rsidSect="002418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B4" w:rsidRDefault="003A38B4" w:rsidP="00A81D6E">
      <w:pPr>
        <w:spacing w:after="0" w:line="240" w:lineRule="auto"/>
      </w:pPr>
      <w:r>
        <w:separator/>
      </w:r>
    </w:p>
  </w:endnote>
  <w:endnote w:type="continuationSeparator" w:id="0">
    <w:p w:rsidR="003A38B4" w:rsidRDefault="003A38B4" w:rsidP="00A81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B4" w:rsidRDefault="003A38B4" w:rsidP="00A81D6E">
      <w:pPr>
        <w:spacing w:after="0" w:line="240" w:lineRule="auto"/>
      </w:pPr>
      <w:r>
        <w:separator/>
      </w:r>
    </w:p>
  </w:footnote>
  <w:footnote w:type="continuationSeparator" w:id="0">
    <w:p w:rsidR="003A38B4" w:rsidRDefault="003A38B4" w:rsidP="00A81D6E">
      <w:pPr>
        <w:spacing w:after="0" w:line="240" w:lineRule="auto"/>
      </w:pPr>
      <w:r>
        <w:continuationSeparator/>
      </w:r>
    </w:p>
  </w:footnote>
  <w:footnote w:id="1">
    <w:p w:rsidR="00A81D6E" w:rsidRDefault="00A81D6E" w:rsidP="00A81D6E">
      <w:pPr>
        <w:pStyle w:val="FootnoteText"/>
      </w:pPr>
      <w:r>
        <w:rPr>
          <w:rStyle w:val="FootnoteReference"/>
        </w:rPr>
        <w:footnoteRef/>
      </w:r>
      <w:r>
        <w:t xml:space="preserve"> Tooted ja teenused, mis on tavalisest kõrgemal tehnoloogiatasemel, kallimas hinnaklassis, või piirkonnas puuduvad.</w:t>
      </w:r>
    </w:p>
  </w:footnote>
  <w:footnote w:id="2">
    <w:p w:rsidR="00A81D6E" w:rsidRDefault="00A81D6E" w:rsidP="00A81D6E">
      <w:pPr>
        <w:pStyle w:val="FootnoteText"/>
      </w:pPr>
      <w:r>
        <w:rPr>
          <w:rStyle w:val="FootnoteReference"/>
        </w:rPr>
        <w:footnoteRef/>
      </w:r>
      <w:r>
        <w:t xml:space="preserve"> </w:t>
      </w:r>
      <w:r>
        <w:t>Tooted ja teenused, mis on tavalisest kõrgemal tehnoloogiatasemel, kallimas hinnaklassis, või piirkonnas puuduvad.</w:t>
      </w:r>
    </w:p>
  </w:footnote>
  <w:footnote w:id="3">
    <w:p w:rsidR="00A81D6E" w:rsidRDefault="00A81D6E" w:rsidP="00A81D6E">
      <w:pPr>
        <w:pStyle w:val="FootnoteText"/>
      </w:pPr>
      <w:r>
        <w:rPr>
          <w:rStyle w:val="FootnoteReference"/>
        </w:rPr>
        <w:footnoteRef/>
      </w:r>
      <w:r>
        <w:t xml:space="preserve"> </w:t>
      </w:r>
      <w:r>
        <w:t>Inimese poolt loodud võimalused, mida pakutakse füüsiline elukeskkonna baasil elanikule ja külastajale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D2179F"/>
    <w:multiLevelType w:val="hybridMultilevel"/>
    <w:tmpl w:val="45DC5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F2F1F9B"/>
    <w:multiLevelType w:val="hybridMultilevel"/>
    <w:tmpl w:val="895283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91E4394"/>
    <w:multiLevelType w:val="hybridMultilevel"/>
    <w:tmpl w:val="7F461F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A6E7719"/>
    <w:multiLevelType w:val="hybridMultilevel"/>
    <w:tmpl w:val="944C96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CA326C1"/>
    <w:multiLevelType w:val="hybridMultilevel"/>
    <w:tmpl w:val="DCC2B4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EC7121B"/>
    <w:multiLevelType w:val="hybridMultilevel"/>
    <w:tmpl w:val="AA1208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529C7F12"/>
    <w:multiLevelType w:val="hybridMultilevel"/>
    <w:tmpl w:val="58F62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EDD7DB9"/>
    <w:multiLevelType w:val="hybridMultilevel"/>
    <w:tmpl w:val="5CB02A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57B0"/>
    <w:rsid w:val="000A7125"/>
    <w:rsid w:val="00224B19"/>
    <w:rsid w:val="002418DF"/>
    <w:rsid w:val="00245B33"/>
    <w:rsid w:val="003A38B4"/>
    <w:rsid w:val="00411518"/>
    <w:rsid w:val="004D3644"/>
    <w:rsid w:val="004E658F"/>
    <w:rsid w:val="00522504"/>
    <w:rsid w:val="00671BCF"/>
    <w:rsid w:val="006C686B"/>
    <w:rsid w:val="008F25E3"/>
    <w:rsid w:val="00975285"/>
    <w:rsid w:val="009C5685"/>
    <w:rsid w:val="00A50EAC"/>
    <w:rsid w:val="00A81D6E"/>
    <w:rsid w:val="00AF7C23"/>
    <w:rsid w:val="00BC57B0"/>
    <w:rsid w:val="00C44C7C"/>
    <w:rsid w:val="00C56B6A"/>
    <w:rsid w:val="00F315D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ahoma"/>
        <w:sz w:val="24"/>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B0"/>
    <w:pPr>
      <w:ind w:left="720"/>
      <w:contextualSpacing/>
    </w:pPr>
  </w:style>
  <w:style w:type="paragraph" w:customStyle="1" w:styleId="Tabelisisu">
    <w:name w:val="Tabeli sisu"/>
    <w:basedOn w:val="Normal"/>
    <w:rsid w:val="00A81D6E"/>
    <w:pPr>
      <w:suppressLineNumbers/>
      <w:suppressAutoHyphens/>
    </w:pPr>
    <w:rPr>
      <w:rFonts w:eastAsia="Calibri"/>
      <w:lang w:eastAsia="ar-SA"/>
    </w:rPr>
  </w:style>
  <w:style w:type="paragraph" w:styleId="FootnoteText">
    <w:name w:val="footnote text"/>
    <w:basedOn w:val="Normal"/>
    <w:link w:val="FootnoteTextChar"/>
    <w:uiPriority w:val="99"/>
    <w:semiHidden/>
    <w:unhideWhenUsed/>
    <w:rsid w:val="00A81D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D6E"/>
    <w:rPr>
      <w:sz w:val="20"/>
      <w:szCs w:val="20"/>
    </w:rPr>
  </w:style>
  <w:style w:type="character" w:styleId="FootnoteReference">
    <w:name w:val="footnote reference"/>
    <w:basedOn w:val="DefaultParagraphFont"/>
    <w:uiPriority w:val="99"/>
    <w:semiHidden/>
    <w:unhideWhenUsed/>
    <w:rsid w:val="00A81D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1125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6</cp:revision>
  <dcterms:created xsi:type="dcterms:W3CDTF">2014-09-16T11:51:00Z</dcterms:created>
  <dcterms:modified xsi:type="dcterms:W3CDTF">2014-09-17T07:48:00Z</dcterms:modified>
</cp:coreProperties>
</file>